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720"/>
        <w:jc w:val="center"/>
      </w:pPr>
      <w:r>
        <w:rPr>
          <w:rFonts w:ascii="Calibri" w:cs="Calibri" w:eastAsia="Calibri" w:hAnsi="Calibri"/>
          <w:b/>
          <w:bCs/>
          <w:color w:val="5A6880"/>
          <w:spacing w:val="60"/>
          <w:sz w:val="20"/>
          <w:szCs w:val="20"/>
        </w:rPr>
        <w:t xml:space="preserve">TRN-408732</w:t>
      </w:r>
    </w:p>
    <w:p>
      <w:pPr>
        <w:spacing w:after="80" w:before="0"/>
        <w:jc w:val="center"/>
      </w:pPr>
      <w:r>
        <w:rPr>
          <w:rFonts w:ascii="Cambria" w:cs="Cambria" w:eastAsia="Cambria" w:hAnsi="Cambria"/>
          <w:b/>
          <w:bCs/>
          <w:color w:val="0E2841"/>
          <w:sz w:val="52"/>
          <w:szCs w:val="52"/>
        </w:rPr>
        <w:t xml:space="preserve">Data Integrity Foundations</w:t>
      </w:r>
    </w:p>
    <w:p>
      <w:pPr>
        <w:spacing w:after="40" w:before="0"/>
        <w:jc w:val="center"/>
      </w:pPr>
      <w:r>
        <w:rPr>
          <w:rFonts w:ascii="Cambria" w:cs="Cambria" w:eastAsia="Cambria" w:hAnsi="Cambria"/>
          <w:color w:val="0063C3"/>
          <w:sz w:val="32"/>
          <w:szCs w:val="32"/>
        </w:rPr>
        <w:t xml:space="preserve">Voiceover Scripts</w:t>
      </w:r>
    </w:p>
    <w:p>
      <w:pPr>
        <w:spacing w:after="600" w:before="0"/>
        <w:jc w:val="center"/>
      </w:pPr>
      <w:r>
        <w:rPr>
          <w:rFonts w:ascii="Calibri" w:cs="Calibri" w:eastAsia="Calibri" w:hAnsi="Calibri"/>
          <w:i/>
          <w:iCs/>
          <w:color w:val="5A6880"/>
          <w:sz w:val="22"/>
          <w:szCs w:val="22"/>
        </w:rPr>
        <w:t xml:space="preserve">Case Studies · Module Summaries</w:t>
      </w:r>
    </w:p>
    <w:p>
      <w:pPr>
        <w:pBdr>
          <w:bottom w:val="single" w:color="D0D8E4" w:sz="6" w:space="1"/>
        </w:pBdr>
        <w:spacing w:after="200" w:before="200"/>
      </w:pPr>
    </w:p>
    <w:p>
      <w:pPr>
        <w:spacing w:after="80" w:before="160"/>
        <w:jc w:val="center"/>
      </w:pPr>
      <w:r>
        <w:rPr>
          <w:rFonts w:ascii="Calibri" w:cs="Calibri" w:eastAsia="Calibri" w:hAnsi="Calibri"/>
          <w:b/>
          <w:bCs/>
          <w:color w:val="0E2841"/>
          <w:sz w:val="24"/>
          <w:szCs w:val="24"/>
        </w:rPr>
        <w:t xml:space="preserve">Document Contents</w:t>
      </w:r>
    </w:p>
    <w:p>
      <w:pPr>
        <w:spacing w:after="40" w:before="0"/>
        <w:ind w:left="360"/>
      </w:pPr>
      <w:r>
        <w:rPr>
          <w:rFonts w:ascii="Calibri" w:cs="Calibri" w:eastAsia="Calibri" w:hAnsi="Calibri"/>
          <w:color w:val="5A6880"/>
          <w:sz w:val="20"/>
          <w:szCs w:val="20"/>
        </w:rPr>
        <w:t xml:space="preserve">1.  Case Study I — Slide 1: Shared Credentials: The Scenario</w:t>
      </w:r>
    </w:p>
    <w:p>
      <w:pPr>
        <w:spacing w:after="40" w:before="0"/>
        <w:ind w:left="360"/>
      </w:pPr>
      <w:r>
        <w:rPr>
          <w:rFonts w:ascii="Calibri" w:cs="Calibri" w:eastAsia="Calibri" w:hAnsi="Calibri"/>
          <w:color w:val="5A6880"/>
          <w:sz w:val="20"/>
          <w:szCs w:val="20"/>
        </w:rPr>
        <w:t xml:space="preserve">2.  Case Study I — Slide 2: Shared Credentials: What Went Wrong</w:t>
      </w:r>
    </w:p>
    <w:p>
      <w:pPr>
        <w:spacing w:after="40" w:before="0"/>
        <w:ind w:left="360"/>
      </w:pPr>
      <w:r>
        <w:rPr>
          <w:rFonts w:ascii="Calibri" w:cs="Calibri" w:eastAsia="Calibri" w:hAnsi="Calibri"/>
          <w:color w:val="5A6880"/>
          <w:sz w:val="20"/>
          <w:szCs w:val="20"/>
        </w:rPr>
        <w:t xml:space="preserve">3.  Case Study II — Slide 1: FDA Warning Letters: The Situation</w:t>
      </w:r>
    </w:p>
    <w:p>
      <w:pPr>
        <w:spacing w:after="40" w:before="0"/>
        <w:ind w:left="360"/>
      </w:pPr>
      <w:r>
        <w:rPr>
          <w:rFonts w:ascii="Calibri" w:cs="Calibri" w:eastAsia="Calibri" w:hAnsi="Calibri"/>
          <w:color w:val="5A6880"/>
          <w:sz w:val="20"/>
          <w:szCs w:val="20"/>
        </w:rPr>
        <w:t xml:space="preserve">4.  Case Study II — Slide 2: FDA Warning Letters: The Consequences</w:t>
      </w:r>
    </w:p>
    <w:p>
      <w:pPr>
        <w:spacing w:after="40" w:before="0"/>
        <w:ind w:left="360"/>
      </w:pPr>
      <w:r>
        <w:rPr>
          <w:rFonts w:ascii="Calibri" w:cs="Calibri" w:eastAsia="Calibri" w:hAnsi="Calibri"/>
          <w:color w:val="5A6880"/>
          <w:sz w:val="20"/>
          <w:szCs w:val="20"/>
        </w:rPr>
        <w:t xml:space="preserve">5.  Module 1 Summary — Introduction</w:t>
      </w:r>
    </w:p>
    <w:p>
      <w:pPr>
        <w:spacing w:after="40" w:before="0"/>
        <w:ind w:left="360"/>
      </w:pPr>
      <w:r>
        <w:rPr>
          <w:rFonts w:ascii="Calibri" w:cs="Calibri" w:eastAsia="Calibri" w:hAnsi="Calibri"/>
          <w:color w:val="5A6880"/>
          <w:sz w:val="20"/>
          <w:szCs w:val="20"/>
        </w:rPr>
        <w:t xml:space="preserve">6.  Module 2 Summary — Data Integrity: Basic Concepts</w:t>
      </w:r>
    </w:p>
    <w:p>
      <w:pPr>
        <w:spacing w:after="40" w:before="0"/>
        <w:ind w:left="360"/>
      </w:pPr>
      <w:r>
        <w:rPr>
          <w:rFonts w:ascii="Calibri" w:cs="Calibri" w:eastAsia="Calibri" w:hAnsi="Calibri"/>
          <w:color w:val="5A6880"/>
          <w:sz w:val="20"/>
          <w:szCs w:val="20"/>
        </w:rPr>
        <w:t xml:space="preserve">7.  Module 3 Summary — ALCOA+ and Quality Attributes</w:t>
      </w:r>
    </w:p>
    <w:p>
      <w:pPr>
        <w:spacing w:after="40" w:before="0"/>
        <w:ind w:left="360"/>
      </w:pPr>
      <w:r>
        <w:rPr>
          <w:rFonts w:ascii="Calibri" w:cs="Calibri" w:eastAsia="Calibri" w:hAnsi="Calibri"/>
          <w:color w:val="5A6880"/>
          <w:sz w:val="20"/>
          <w:szCs w:val="20"/>
        </w:rPr>
        <w:t xml:space="preserve">8.  Module 4 Summary — Relationship to Amgen Business Processes</w:t>
      </w:r>
    </w:p>
    <w:p>
      <w:pPr>
        <w:spacing w:after="40" w:before="0"/>
        <w:ind w:left="360"/>
      </w:pPr>
      <w:r>
        <w:rPr>
          <w:rFonts w:ascii="Calibri" w:cs="Calibri" w:eastAsia="Calibri" w:hAnsi="Calibri"/>
          <w:color w:val="5A6880"/>
          <w:sz w:val="20"/>
          <w:szCs w:val="20"/>
        </w:rPr>
        <w:t xml:space="preserve">9.  Module 5 Summary — Ensuring Data Integrity Across the Lifecycle</w:t>
      </w:r>
    </w:p>
    <w:p>
      <w:pPr>
        <w:spacing w:after="0" w:before="0"/>
      </w:pPr>
      <w:r>
        <w:br/>
      </w:r>
    </w:p>
    <w:p>
      <w:pPr>
        <w:pStyle w:val="Heading1"/>
        <w:spacing w:after="120" w:before="360"/>
        <w:rPr>
          <w:rFonts w:ascii="Cambria" w:cs="Cambria" w:eastAsia="Cambria" w:hAnsi="Cambria"/>
          <w:b/>
          <w:bCs/>
          <w:color w:val="0E2841"/>
          <w:sz w:val="28"/>
          <w:szCs w:val="28"/>
        </w:rPr>
      </w:pPr>
      <w:r>
        <w:t xml:space="preserve">Case Studies</w:t>
      </w:r>
    </w:p>
    <w:p>
      <w:pPr>
        <w:spacing w:after="160" w:before="0"/>
        <w:jc w:val="both"/>
      </w:pPr>
      <w:r>
        <w:rPr>
          <w:rFonts w:ascii="Calibri" w:cs="Calibri" w:eastAsia="Calibri" w:hAnsi="Calibri"/>
          <w:b w:val="false"/>
          <w:bCs w:val="false"/>
          <w:i w:val="false"/>
          <w:iCs w:val="false"/>
          <w:color w:val="1A1A2E"/>
          <w:sz w:val="22"/>
          <w:szCs w:val="22"/>
        </w:rPr>
        <w:t xml:space="preserve">The following scripts cover two case studies from Module 5. Each script is written for a single slide and should run 60–90 seconds when delivered at a natural pace. Speaker notes in italics are guidance for the narrator and should not be read aloud.</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Case Study I — Slide 1</w:t>
      </w:r>
    </w:p>
    <w:p>
      <w:pPr>
        <w:pStyle w:val="Heading2"/>
        <w:spacing w:after="80" w:before="280"/>
        <w:rPr>
          <w:rFonts w:ascii="Calibri" w:cs="Calibri" w:eastAsia="Calibri" w:hAnsi="Calibri"/>
          <w:b/>
          <w:bCs/>
          <w:color w:val="0063C3"/>
          <w:sz w:val="24"/>
          <w:szCs w:val="24"/>
        </w:rPr>
      </w:pPr>
      <w:r>
        <w:t xml:space="preserve">Shared Credentials: The Scenario</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Case Study I · Slide 1 of 2   |   Topic: Module 5 · Data Integrity Across the Lifecycle</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It's third shift. December 2022. A Particle Counter in one of the manufacturing areas has lost communication with the Process Control System. Without it, environmental monitoring can't continue and the manufacturing schedule is at risk.</w:t>
      </w:r>
    </w:p>
    <w:p>
      <w:pPr>
        <w:spacing w:after="160" w:before="0"/>
        <w:jc w:val="both"/>
      </w:pPr>
      <w:r>
        <w:rPr>
          <w:rFonts w:ascii="Calibri" w:cs="Calibri" w:eastAsia="Calibri" w:hAnsi="Calibri"/>
          <w:b w:val="false"/>
          <w:bCs w:val="false"/>
          <w:i w:val="false"/>
          <w:iCs w:val="false"/>
          <w:color w:val="1A1A2E"/>
          <w:sz w:val="22"/>
          <w:szCs w:val="22"/>
        </w:rPr>
        <w:t xml:space="preserve">Meet Marcus. He's a Senior Engineer and the System Administrator on the Particle Counter system. Tonight, he's offsite. Then his phone rings.</w:t>
      </w:r>
    </w:p>
    <w:p>
      <w:pPr>
        <w:spacing w:after="160" w:before="0"/>
        <w:jc w:val="both"/>
      </w:pPr>
      <w:r>
        <w:rPr>
          <w:rFonts w:ascii="Calibri" w:cs="Calibri" w:eastAsia="Calibri" w:hAnsi="Calibri"/>
          <w:b w:val="false"/>
          <w:bCs w:val="false"/>
          <w:i w:val="false"/>
          <w:iCs w:val="false"/>
          <w:color w:val="1A1A2E"/>
          <w:sz w:val="22"/>
          <w:szCs w:val="22"/>
        </w:rPr>
        <w:t xml:space="preserve">On the other end is Diana, a Manager in Manufacturing. She's on the floor. The clock is running.</w:t>
      </w:r>
    </w:p>
    <w:p>
      <w:pPr>
        <w:spacing w:after="160" w:before="0"/>
        <w:jc w:val="both"/>
      </w:pPr>
      <w:r>
        <w:rPr>
          <w:rFonts w:ascii="Calibri" w:cs="Calibri" w:eastAsia="Calibri" w:hAnsi="Calibri"/>
          <w:b w:val="false"/>
          <w:bCs w:val="false"/>
          <w:i w:val="false"/>
          <w:iCs w:val="false"/>
          <w:color w:val="1A1A2E"/>
          <w:sz w:val="22"/>
          <w:szCs w:val="22"/>
        </w:rPr>
        <w:t xml:space="preserve">Marcus knows exactly what needs to happen. The IP address on the replacement counter needs to be reconfigured. But only an Administrator account can do it — and no administrator is onsite.</w:t>
      </w:r>
    </w:p>
    <w:p>
      <w:pPr>
        <w:spacing w:after="160" w:before="0"/>
        <w:jc w:val="both"/>
      </w:pPr>
      <w:r>
        <w:rPr>
          <w:rFonts w:ascii="Calibri" w:cs="Calibri" w:eastAsia="Calibri" w:hAnsi="Calibri"/>
          <w:b w:val="false"/>
          <w:bCs w:val="false"/>
          <w:i w:val="false"/>
          <w:iCs w:val="false"/>
          <w:color w:val="1A1A2E"/>
          <w:sz w:val="22"/>
          <w:szCs w:val="22"/>
        </w:rPr>
        <w:t xml:space="preserve">Marcus makes a call. He gives Diana his Administrator username and password over the phone and walks her through the configuration step by step. The counter comes back online. Manufacturing continues.</w:t>
      </w:r>
    </w:p>
    <w:p>
      <w:pPr>
        <w:spacing w:after="160" w:before="0"/>
        <w:jc w:val="both"/>
      </w:pPr>
      <w:r>
        <w:rPr>
          <w:rFonts w:ascii="Calibri" w:cs="Calibri" w:eastAsia="Calibri" w:hAnsi="Calibri"/>
          <w:b w:val="false"/>
          <w:bCs w:val="false"/>
          <w:i w:val="false"/>
          <w:iCs w:val="false"/>
          <w:color w:val="1A1A2E"/>
          <w:sz w:val="22"/>
          <w:szCs w:val="22"/>
        </w:rPr>
        <w:t xml:space="preserve">At the time, it feels like the right call. An urgent situation. No one else available. Problem solved. Or so it seemed.</w:t>
      </w:r>
    </w:p>
    <w:p>
      <w:pPr>
        <w:spacing w:after="160" w:before="0"/>
        <w:jc w:val="both"/>
      </w:pPr>
      <w:r>
        <w:rPr>
          <w:rFonts w:ascii="Calibri" w:cs="Calibri" w:eastAsia="Calibri" w:hAnsi="Calibri"/>
          <w:b w:val="false"/>
          <w:bCs w:val="false"/>
          <w:i/>
          <w:iCs/>
          <w:color w:val="5A6880"/>
          <w:sz w:val="22"/>
          <w:szCs w:val="22"/>
        </w:rPr>
        <w:t xml:space="preserve">Before we find out what went wrong, take a moment to think: what would you have done in Marcus's position? What other options might have existed? We'll come back to that.</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Case Study I — Slide 2</w:t>
      </w:r>
    </w:p>
    <w:p>
      <w:pPr>
        <w:pStyle w:val="Heading2"/>
        <w:spacing w:after="80" w:before="280"/>
        <w:rPr>
          <w:rFonts w:ascii="Calibri" w:cs="Calibri" w:eastAsia="Calibri" w:hAnsi="Calibri"/>
          <w:b/>
          <w:bCs/>
          <w:color w:val="0063C3"/>
          <w:sz w:val="24"/>
          <w:szCs w:val="24"/>
        </w:rPr>
      </w:pPr>
      <w:r>
        <w:t xml:space="preserve">Shared Credentials: What Went Wrong</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Case Study I · Slide 2 of 2   |   Topic: Module 5 · Data Integrity Across the Lifecycle</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So what exactly went wrong?</w:t>
      </w:r>
    </w:p>
    <w:p>
      <w:pPr>
        <w:spacing w:after="160" w:before="0"/>
        <w:jc w:val="both"/>
      </w:pPr>
      <w:r>
        <w:rPr>
          <w:rFonts w:ascii="Calibri" w:cs="Calibri" w:eastAsia="Calibri" w:hAnsi="Calibri"/>
          <w:b w:val="false"/>
          <w:bCs w:val="false"/>
          <w:i w:val="false"/>
          <w:iCs w:val="false"/>
          <w:color w:val="1A1A2E"/>
          <w:sz w:val="22"/>
          <w:szCs w:val="22"/>
        </w:rPr>
        <w:t xml:space="preserve">By logging in as Marcus, Diana performed an Administrator-level task using someone else's credentials. And here's the problem: every action taken under that login is now attributed to Marcus — not Diana. The system has no record that Diana was ever involved.</w:t>
      </w:r>
    </w:p>
    <w:p>
      <w:pPr>
        <w:spacing w:after="160" w:before="0"/>
        <w:jc w:val="both"/>
      </w:pPr>
      <w:r>
        <w:rPr>
          <w:rFonts w:ascii="Calibri" w:cs="Calibri" w:eastAsia="Calibri" w:hAnsi="Calibri"/>
          <w:b w:val="false"/>
          <w:bCs w:val="false"/>
          <w:i w:val="false"/>
          <w:iCs w:val="false"/>
          <w:color w:val="1A1A2E"/>
          <w:sz w:val="22"/>
          <w:szCs w:val="22"/>
        </w:rPr>
        <w:t xml:space="preserve">This is a violation of the ALCOA principle of Attributable. Data must be traceable to the person who generated it. When shared credentials are used, that traceability collapses completely.</w:t>
      </w:r>
    </w:p>
    <w:p>
      <w:pPr>
        <w:spacing w:after="160" w:before="0"/>
        <w:jc w:val="both"/>
      </w:pPr>
      <w:r>
        <w:rPr>
          <w:rFonts w:ascii="Calibri" w:cs="Calibri" w:eastAsia="Calibri" w:hAnsi="Calibri"/>
          <w:b w:val="false"/>
          <w:bCs w:val="false"/>
          <w:i w:val="false"/>
          <w:iCs w:val="false"/>
          <w:color w:val="1A1A2E"/>
          <w:sz w:val="22"/>
          <w:szCs w:val="22"/>
        </w:rPr>
        <w:t xml:space="preserve">Two SOPs were also violated. SOP-423329, which governs Good Documentation Practices, is explicit: no one may perform tasks under another user's electronic credentials unless under direct training with trainer supervision. SOP-424193 on the Training Process for Operations states that staff may only perform tasks for which they are qualified, or under direct supervision of qualified staff.</w:t>
      </w:r>
    </w:p>
    <w:p>
      <w:pPr>
        <w:spacing w:after="160" w:before="0"/>
        <w:jc w:val="both"/>
      </w:pPr>
      <w:r>
        <w:rPr>
          <w:rFonts w:ascii="Calibri" w:cs="Calibri" w:eastAsia="Calibri" w:hAnsi="Calibri"/>
          <w:b w:val="false"/>
          <w:bCs w:val="false"/>
          <w:i w:val="false"/>
          <w:iCs w:val="false"/>
          <w:color w:val="1A1A2E"/>
          <w:sz w:val="22"/>
          <w:szCs w:val="22"/>
        </w:rPr>
        <w:t xml:space="preserve">Diana was not qualified as a System Administrator. She was not under supervision. This was designated a Major deviation.</w:t>
      </w:r>
    </w:p>
    <w:p>
      <w:pPr>
        <w:spacing w:after="160" w:before="0"/>
        <w:jc w:val="both"/>
      </w:pPr>
      <w:r>
        <w:rPr>
          <w:rFonts w:ascii="Calibri" w:cs="Calibri" w:eastAsia="Calibri" w:hAnsi="Calibri"/>
          <w:b w:val="false"/>
          <w:bCs w:val="false"/>
          <w:i w:val="false"/>
          <w:iCs w:val="false"/>
          <w:color w:val="1A1A2E"/>
          <w:sz w:val="22"/>
          <w:szCs w:val="22"/>
        </w:rPr>
        <w:t xml:space="preserve">What happened in the aftermath? The following day, Marcus reset his Administrator credentials on all affected counters. Additional counters across the facility were reset within the week. Management provided a refresher on data integrity and ALCOA principles to all building staff. Marcus and Diana both completed remedial training in the Code of Conduct course. And HR action was taken in accordance with policy.</w:t>
      </w:r>
    </w:p>
    <w:p>
      <w:pPr>
        <w:spacing w:after="160" w:before="0"/>
        <w:jc w:val="both"/>
      </w:pPr>
      <w:r>
        <w:rPr>
          <w:rFonts w:ascii="Calibri" w:cs="Calibri" w:eastAsia="Calibri" w:hAnsi="Calibri"/>
          <w:b w:val="false"/>
          <w:bCs w:val="false"/>
          <w:i w:val="false"/>
          <w:iCs w:val="false"/>
          <w:color w:val="1A1A2E"/>
          <w:sz w:val="22"/>
          <w:szCs w:val="22"/>
        </w:rPr>
        <w:t xml:space="preserve">The lesson here is simple but important: urgency does not suspend data integrity requirements. If anything, an emergency is exactly the moment when the pressure to cut corners is highest — and when the consequences of doing so are most severe.</w:t>
      </w:r>
    </w:p>
    <w:p>
      <w:pPr>
        <w:spacing w:after="160" w:before="0"/>
        <w:jc w:val="both"/>
      </w:pPr>
      <w:r>
        <w:rPr>
          <w:rFonts w:ascii="Calibri" w:cs="Calibri" w:eastAsia="Calibri" w:hAnsi="Calibri"/>
          <w:b/>
          <w:bCs/>
          <w:i w:val="false"/>
          <w:iCs w:val="false"/>
          <w:color w:val="1A1A2E"/>
          <w:sz w:val="22"/>
          <w:szCs w:val="22"/>
        </w:rPr>
        <w:t xml:space="preserve">Data integrity is not suspended in an emergency. It is most at risk in one.</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Case Study II — Slide 1</w:t>
      </w:r>
    </w:p>
    <w:p>
      <w:pPr>
        <w:pStyle w:val="Heading2"/>
        <w:spacing w:after="80" w:before="280"/>
        <w:rPr>
          <w:rFonts w:ascii="Calibri" w:cs="Calibri" w:eastAsia="Calibri" w:hAnsi="Calibri"/>
          <w:b/>
          <w:bCs/>
          <w:color w:val="0063C3"/>
          <w:sz w:val="24"/>
          <w:szCs w:val="24"/>
        </w:rPr>
      </w:pPr>
      <w:r>
        <w:t xml:space="preserve">FDA Warning Letters: The Situation</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Case Study II · Slide 1 of 2   |   Topic: Module 5 · Data Integrity Across the Lifecycle</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This case study involves two pharmaceutical companies — we'll call them Company X and Company Y. Each received FDA Form 483 observations citing data integrity failures. Both submitted responses. And both received Warning Letters from the FDA.</w:t>
      </w:r>
    </w:p>
    <w:p>
      <w:pPr>
        <w:spacing w:after="160" w:before="0"/>
        <w:jc w:val="both"/>
      </w:pPr>
      <w:r>
        <w:rPr>
          <w:rFonts w:ascii="Calibri" w:cs="Calibri" w:eastAsia="Calibri" w:hAnsi="Calibri"/>
          <w:b w:val="false"/>
          <w:bCs w:val="false"/>
          <w:i w:val="false"/>
          <w:iCs w:val="false"/>
          <w:color w:val="1A1A2E"/>
          <w:sz w:val="22"/>
          <w:szCs w:val="22"/>
        </w:rPr>
        <w:t xml:space="preserve">The FDA's finding was the same in both cases: their responses lacked sufficient corrective actions.</w:t>
      </w:r>
    </w:p>
    <w:p>
      <w:pPr>
        <w:spacing w:after="160" w:before="0"/>
        <w:jc w:val="both"/>
      </w:pPr>
      <w:r>
        <w:rPr>
          <w:rFonts w:ascii="Calibri" w:cs="Calibri" w:eastAsia="Calibri" w:hAnsi="Calibri"/>
          <w:b w:val="false"/>
          <w:bCs w:val="false"/>
          <w:i w:val="false"/>
          <w:iCs w:val="false"/>
          <w:color w:val="1A1A2E"/>
          <w:sz w:val="22"/>
          <w:szCs w:val="22"/>
        </w:rPr>
        <w:t xml:space="preserve">Let's focus on Company X.</w:t>
      </w:r>
    </w:p>
    <w:p>
      <w:pPr>
        <w:spacing w:after="160" w:before="0"/>
        <w:jc w:val="both"/>
      </w:pPr>
      <w:r>
        <w:rPr>
          <w:rFonts w:ascii="Calibri" w:cs="Calibri" w:eastAsia="Calibri" w:hAnsi="Calibri"/>
          <w:b w:val="false"/>
          <w:bCs w:val="false"/>
          <w:i w:val="false"/>
          <w:iCs w:val="false"/>
          <w:color w:val="1A1A2E"/>
          <w:sz w:val="22"/>
          <w:szCs w:val="22"/>
        </w:rPr>
        <w:t xml:space="preserve">The Annual Product Review spreadsheet was maintained on a desktop computer in the quality unit area. The computer was not locked. No access controls were in place. Every employee in the area had access to that file. Anyone could open it, edit it, or delete it.</w:t>
      </w:r>
    </w:p>
    <w:p>
      <w:pPr>
        <w:spacing w:after="160" w:before="0"/>
        <w:jc w:val="both"/>
      </w:pPr>
      <w:r>
        <w:rPr>
          <w:rFonts w:ascii="Calibri" w:cs="Calibri" w:eastAsia="Calibri" w:hAnsi="Calibri"/>
          <w:b w:val="false"/>
          <w:bCs w:val="false"/>
          <w:i w:val="false"/>
          <w:iCs w:val="false"/>
          <w:color w:val="1A1A2E"/>
          <w:sz w:val="22"/>
          <w:szCs w:val="22"/>
        </w:rPr>
        <w:t xml:space="preserve">The FDA observation was direct. And I want you to hear the exact language, because this is how regulators write when they find something serious: "The firm failed to exercise appropriate controls over computer or related systems to assure that only authorized personnel institute changes in master production and control records."</w:t>
      </w:r>
    </w:p>
    <w:p>
      <w:pPr>
        <w:spacing w:after="160" w:before="0"/>
        <w:jc w:val="both"/>
      </w:pPr>
      <w:r>
        <w:rPr>
          <w:rFonts w:ascii="Calibri" w:cs="Calibri" w:eastAsia="Calibri" w:hAnsi="Calibri"/>
          <w:b w:val="false"/>
          <w:bCs w:val="false"/>
          <w:i w:val="false"/>
          <w:iCs w:val="false"/>
          <w:color w:val="1A1A2E"/>
          <w:sz w:val="22"/>
          <w:szCs w:val="22"/>
        </w:rPr>
        <w:t xml:space="preserve">Think about what that means in practice. If anyone can change a file, you have no way of knowing who changed what, when, or why. Attribution collapses. ALCOA breaks down at its very first letter.</w:t>
      </w:r>
    </w:p>
    <w:p>
      <w:pPr>
        <w:spacing w:after="160" w:before="0"/>
        <w:jc w:val="both"/>
      </w:pPr>
      <w:r>
        <w:rPr>
          <w:rFonts w:ascii="Calibri" w:cs="Calibri" w:eastAsia="Calibri" w:hAnsi="Calibri"/>
          <w:b/>
          <w:bCs/>
          <w:i w:val="false"/>
          <w:iCs w:val="false"/>
          <w:color w:val="1A1A2E"/>
          <w:sz w:val="22"/>
          <w:szCs w:val="22"/>
        </w:rPr>
        <w:t xml:space="preserve">The consequence of no access control is exactly the same as sharing credentials: there is no traceable record of who did anything.</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Case Study II — Slide 2</w:t>
      </w:r>
    </w:p>
    <w:p>
      <w:pPr>
        <w:pStyle w:val="Heading2"/>
        <w:spacing w:after="80" w:before="280"/>
        <w:rPr>
          <w:rFonts w:ascii="Calibri" w:cs="Calibri" w:eastAsia="Calibri" w:hAnsi="Calibri"/>
          <w:b/>
          <w:bCs/>
          <w:color w:val="0063C3"/>
          <w:sz w:val="24"/>
          <w:szCs w:val="24"/>
        </w:rPr>
      </w:pPr>
      <w:r>
        <w:t xml:space="preserve">FDA Warning Letters: The Consequences</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Case Study II · Slide 2 of 2   |   Topic: Module 5 · Data Integrity Across the Lifecycle</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When a Warning Letter follows a Form 483, the FDA sets the terms of remediation. The company no longer gets to decide how it will fix the problem — the FDA does.</w:t>
      </w:r>
    </w:p>
    <w:p>
      <w:pPr>
        <w:spacing w:after="160" w:before="0"/>
        <w:jc w:val="both"/>
      </w:pPr>
      <w:r>
        <w:rPr>
          <w:rFonts w:ascii="Calibri" w:cs="Calibri" w:eastAsia="Calibri" w:hAnsi="Calibri"/>
          <w:b w:val="false"/>
          <w:bCs w:val="false"/>
          <w:i w:val="false"/>
          <w:iCs w:val="false"/>
          <w:color w:val="1A1A2E"/>
          <w:sz w:val="22"/>
          <w:szCs w:val="22"/>
        </w:rPr>
        <w:t xml:space="preserve">For Company X, the FDA required three things.</w:t>
      </w:r>
    </w:p>
    <w:p>
      <w:pPr>
        <w:spacing w:after="160" w:before="0"/>
        <w:jc w:val="both"/>
      </w:pPr>
      <w:r>
        <w:rPr>
          <w:rFonts w:ascii="Calibri" w:cs="Calibri" w:eastAsia="Calibri" w:hAnsi="Calibri"/>
          <w:b w:val="false"/>
          <w:bCs w:val="false"/>
          <w:i w:val="false"/>
          <w:iCs w:val="false"/>
          <w:color w:val="1A1A2E"/>
          <w:sz w:val="22"/>
          <w:szCs w:val="22"/>
        </w:rPr>
        <w:t xml:space="preserve">First: a full investigation covering all laboratories, manufacturing operations, and systems. Not just the area where the problem was found. All of them. With a written protocol, a defined methodology, and a documented justification for any area the company proposed to exclude.</w:t>
      </w:r>
    </w:p>
    <w:p>
      <w:pPr>
        <w:spacing w:after="160" w:before="0"/>
        <w:jc w:val="both"/>
      </w:pPr>
      <w:r>
        <w:rPr>
          <w:rFonts w:ascii="Calibri" w:cs="Calibri" w:eastAsia="Calibri" w:hAnsi="Calibri"/>
          <w:b w:val="false"/>
          <w:bCs w:val="false"/>
          <w:i w:val="false"/>
          <w:iCs w:val="false"/>
          <w:color w:val="1A1A2E"/>
          <w:sz w:val="22"/>
          <w:szCs w:val="22"/>
        </w:rPr>
        <w:t xml:space="preserve">Second: interviews with current and former employees to identify the nature, scope, and root cause of the data inaccuracies. This isn't a paper exercise. This means talking to people who may no longer work there.</w:t>
      </w:r>
    </w:p>
    <w:p>
      <w:pPr>
        <w:spacing w:after="160" w:before="0"/>
        <w:jc w:val="both"/>
      </w:pPr>
      <w:r>
        <w:rPr>
          <w:rFonts w:ascii="Calibri" w:cs="Calibri" w:eastAsia="Calibri" w:hAnsi="Calibri"/>
          <w:b w:val="false"/>
          <w:bCs w:val="false"/>
          <w:i w:val="false"/>
          <w:iCs w:val="false"/>
          <w:color w:val="1A1A2E"/>
          <w:sz w:val="22"/>
          <w:szCs w:val="22"/>
        </w:rPr>
        <w:t xml:space="preserve">Third: those interviews must be conducted by a qualified third party. Not internal staff. Not the QA team. A qualified external organization with no stake in the outcome.</w:t>
      </w:r>
    </w:p>
    <w:p>
      <w:pPr>
        <w:spacing w:after="160" w:before="0"/>
        <w:jc w:val="both"/>
      </w:pPr>
      <w:r>
        <w:rPr>
          <w:rFonts w:ascii="Calibri" w:cs="Calibri" w:eastAsia="Calibri" w:hAnsi="Calibri"/>
          <w:b w:val="false"/>
          <w:bCs w:val="false"/>
          <w:i w:val="false"/>
          <w:iCs w:val="false"/>
          <w:color w:val="1A1A2E"/>
          <w:sz w:val="22"/>
          <w:szCs w:val="22"/>
        </w:rPr>
        <w:t xml:space="preserve">This is what insufficient corrective actions look like in practice. The remediation goes far beyond fixing the original problem. It means rebuilding the FDA's trust in the entire data generation and review system — across the whole company.</w:t>
      </w:r>
    </w:p>
    <w:p>
      <w:pPr>
        <w:spacing w:after="160" w:before="0"/>
        <w:jc w:val="both"/>
      </w:pPr>
      <w:r>
        <w:rPr>
          <w:rFonts w:ascii="Calibri" w:cs="Calibri" w:eastAsia="Calibri" w:hAnsi="Calibri"/>
          <w:b w:val="false"/>
          <w:bCs w:val="false"/>
          <w:i w:val="false"/>
          <w:iCs w:val="false"/>
          <w:color w:val="1A1A2E"/>
          <w:sz w:val="22"/>
          <w:szCs w:val="22"/>
        </w:rPr>
        <w:t xml:space="preserve">The lesson from both case studies is the same: access controls are not administrative overhead. They are not a box-ticking exercise. They are what makes ALCOA possible. They are the mechanism that allows you to answer the question every regulator will eventually ask: who did this, when, and why?</w:t>
      </w:r>
    </w:p>
    <w:p>
      <w:pPr>
        <w:spacing w:after="160" w:before="0"/>
        <w:jc w:val="both"/>
      </w:pPr>
      <w:r>
        <w:rPr>
          <w:rFonts w:ascii="Calibri" w:cs="Calibri" w:eastAsia="Calibri" w:hAnsi="Calibri"/>
          <w:b/>
          <w:bCs/>
          <w:i w:val="false"/>
          <w:iCs w:val="false"/>
          <w:color w:val="1A1A2E"/>
          <w:sz w:val="22"/>
          <w:szCs w:val="22"/>
        </w:rPr>
        <w:t xml:space="preserve">When the answer to that question is "we don't know," the consequences are significant. And they are entirely preventable.</w:t>
      </w:r>
    </w:p>
    <w:p>
      <w:pPr>
        <w:spacing w:after="0" w:before="0"/>
      </w:pPr>
      <w:r>
        <w:br/>
      </w:r>
    </w:p>
    <w:p>
      <w:pPr>
        <w:pStyle w:val="Heading1"/>
        <w:spacing w:after="120" w:before="360"/>
        <w:rPr>
          <w:rFonts w:ascii="Cambria" w:cs="Cambria" w:eastAsia="Cambria" w:hAnsi="Cambria"/>
          <w:b/>
          <w:bCs/>
          <w:color w:val="0E2841"/>
          <w:sz w:val="28"/>
          <w:szCs w:val="28"/>
        </w:rPr>
      </w:pPr>
      <w:r>
        <w:t xml:space="preserve">Module Summary Scripts</w:t>
      </w:r>
    </w:p>
    <w:p>
      <w:pPr>
        <w:spacing w:after="160" w:before="0"/>
        <w:jc w:val="both"/>
      </w:pPr>
      <w:r>
        <w:rPr>
          <w:rFonts w:ascii="Calibri" w:cs="Calibri" w:eastAsia="Calibri" w:hAnsi="Calibri"/>
          <w:b w:val="false"/>
          <w:bCs w:val="false"/>
          <w:i w:val="false"/>
          <w:iCs w:val="false"/>
          <w:color w:val="1A1A2E"/>
          <w:sz w:val="22"/>
          <w:szCs w:val="22"/>
        </w:rPr>
        <w:t xml:space="preserve">The following scripts cover the summary slide at the close of each module. Each should run 60–90 seconds and consolidates the key takeaways before the learner moves forward.</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Module 1 Summary — Introduction</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Module 1 Summary Slide   |   Topic: Introduction</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Before we move on, let's take a moment to consolidate what you covered in this first module.</w:t>
      </w:r>
    </w:p>
    <w:p>
      <w:pPr>
        <w:spacing w:after="160" w:before="0"/>
        <w:jc w:val="both"/>
      </w:pPr>
      <w:r>
        <w:rPr>
          <w:rFonts w:ascii="Calibri" w:cs="Calibri" w:eastAsia="Calibri" w:hAnsi="Calibri"/>
          <w:b w:val="false"/>
          <w:bCs w:val="false"/>
          <w:i w:val="false"/>
          <w:iCs w:val="false"/>
          <w:color w:val="1A1A2E"/>
          <w:sz w:val="22"/>
          <w:szCs w:val="22"/>
        </w:rPr>
        <w:t xml:space="preserve">Data integrity is a global mandatory requirement for the regulated healthcare industry. It applies to every person who generates, reviews, or approves data — not just the QA team. Quality does not happen by accident, and data integrity is no exception.</w:t>
      </w:r>
    </w:p>
    <w:p>
      <w:pPr>
        <w:spacing w:after="160" w:before="0"/>
        <w:jc w:val="both"/>
      </w:pPr>
      <w:r>
        <w:rPr>
          <w:rFonts w:ascii="Calibri" w:cs="Calibri" w:eastAsia="Calibri" w:hAnsi="Calibri"/>
          <w:b w:val="false"/>
          <w:bCs w:val="false"/>
          <w:i w:val="false"/>
          <w:iCs w:val="false"/>
          <w:color w:val="1A1A2E"/>
          <w:sz w:val="22"/>
          <w:szCs w:val="22"/>
        </w:rPr>
        <w:t xml:space="preserve">The stakes are real. The compounding pharmacy case study at the start of this module illustrated what happens when records are falsified. Patients became ill. Some died. The deception was deliberate, but a similar outcome can result from overlooked violations. The records existed. The data existed. But they didn't reflect reality — and that gap cost lives.</w:t>
      </w:r>
    </w:p>
    <w:p>
      <w:pPr>
        <w:spacing w:after="160" w:before="0"/>
        <w:jc w:val="both"/>
      </w:pPr>
      <w:r>
        <w:rPr>
          <w:rFonts w:ascii="Calibri" w:cs="Calibri" w:eastAsia="Calibri" w:hAnsi="Calibri"/>
          <w:b w:val="false"/>
          <w:bCs w:val="false"/>
          <w:i w:val="false"/>
          <w:iCs w:val="false"/>
          <w:color w:val="1A1A2E"/>
          <w:sz w:val="22"/>
          <w:szCs w:val="22"/>
        </w:rPr>
        <w:t xml:space="preserve">Regulatory agencies take this seriously. The FDA verifies data accuracy and integrity in every inspection, including GMP inspections and Pre-Approval Inspections. There is one statement from the regulations that you should hold onto: "FDA expects that all data be reliable and accurate." And critically — if data integrity non-compliance is found, regulators will assume it is intentional. Not accidental.</w:t>
      </w:r>
    </w:p>
    <w:p>
      <w:pPr>
        <w:spacing w:after="160" w:before="0"/>
        <w:jc w:val="both"/>
      </w:pPr>
      <w:r>
        <w:rPr>
          <w:rFonts w:ascii="Calibri" w:cs="Calibri" w:eastAsia="Calibri" w:hAnsi="Calibri"/>
          <w:b w:val="false"/>
          <w:bCs w:val="false"/>
          <w:i w:val="false"/>
          <w:iCs w:val="false"/>
          <w:color w:val="1A1A2E"/>
          <w:sz w:val="22"/>
          <w:szCs w:val="22"/>
        </w:rPr>
        <w:t xml:space="preserve">Enforcement has been ramping up. In the past decade, warning letters citing data integrity deficiencies have increased significantly across the pharmaceutical industry.</w:t>
      </w:r>
    </w:p>
    <w:p>
      <w:pPr>
        <w:spacing w:after="160" w:before="0"/>
        <w:jc w:val="both"/>
      </w:pPr>
      <w:r>
        <w:rPr>
          <w:rFonts w:ascii="Calibri" w:cs="Calibri" w:eastAsia="Calibri" w:hAnsi="Calibri"/>
          <w:b w:val="false"/>
          <w:bCs w:val="false"/>
          <w:i w:val="false"/>
          <w:iCs w:val="false"/>
          <w:color w:val="1A1A2E"/>
          <w:sz w:val="22"/>
          <w:szCs w:val="22"/>
        </w:rPr>
        <w:t xml:space="preserve">And at the foundation of all of it is culture. Management has a responsibility to create an environment where employees understand that data integrity is part of ensuring quality. When that culture is absent, quality systems break down. Data integrity is not a compliance exercise. It is a reflection of how seriously an organization takes its commitment to patients.</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Module 2 Summary — Data Integrity: Basic Concepts</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Module 2 Summary Slide   |   Topic: Data Integrity — Basic Concepts</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In Module 2, you built the conceptual foundation for the rest of this course.</w:t>
      </w:r>
    </w:p>
    <w:p>
      <w:pPr>
        <w:spacing w:after="160" w:before="0"/>
        <w:jc w:val="both"/>
      </w:pPr>
      <w:r>
        <w:rPr>
          <w:rFonts w:ascii="Calibri" w:cs="Calibri" w:eastAsia="Calibri" w:hAnsi="Calibri"/>
          <w:b w:val="false"/>
          <w:bCs w:val="false"/>
          <w:i w:val="false"/>
          <w:iCs w:val="false"/>
          <w:color w:val="1A1A2E"/>
          <w:sz w:val="22"/>
          <w:szCs w:val="22"/>
        </w:rPr>
        <w:t xml:space="preserve">Data integrity is defined as the extent to which collected data — whether paper or electronic — is complete, consistent, and accurate throughout the data lifecycle. It is not optional. It is a regulatory requirement embedded in cGMP.</w:t>
      </w:r>
    </w:p>
    <w:p>
      <w:pPr>
        <w:spacing w:after="160" w:before="0"/>
        <w:jc w:val="both"/>
      </w:pPr>
      <w:r>
        <w:rPr>
          <w:rFonts w:ascii="Calibri" w:cs="Calibri" w:eastAsia="Calibri" w:hAnsi="Calibri"/>
          <w:b w:val="false"/>
          <w:bCs w:val="false"/>
          <w:i w:val="false"/>
          <w:iCs w:val="false"/>
          <w:color w:val="1A1A2E"/>
          <w:sz w:val="22"/>
          <w:szCs w:val="22"/>
        </w:rPr>
        <w:t xml:space="preserve">You also learned the distinction between data integrity and data security, and why both are required. Data integrity ensures the data is valid, accurate, complete, and whole. Data security protects it from corruption and unauthorized access. Together, they produce data quality. You need both — one without the other is not sufficient.</w:t>
      </w:r>
    </w:p>
    <w:p>
      <w:pPr>
        <w:spacing w:after="160" w:before="0"/>
        <w:jc w:val="both"/>
      </w:pPr>
      <w:r>
        <w:rPr>
          <w:rFonts w:ascii="Calibri" w:cs="Calibri" w:eastAsia="Calibri" w:hAnsi="Calibri"/>
          <w:b w:val="false"/>
          <w:bCs w:val="false"/>
          <w:i w:val="false"/>
          <w:iCs w:val="false"/>
          <w:color w:val="1A1A2E"/>
          <w:sz w:val="22"/>
          <w:szCs w:val="22"/>
        </w:rPr>
        <w:t xml:space="preserve">Three core attributes define data integrity in practice. Data must be available and accessible for review, audit, or inspection. It must be protected from being altered, changed, or corrupted. And it must be permanently stored and secured, including all records that support GxP activities. Controls such as redundant servers, physical access restrictions, and software-level protections all serve this purpose.</w:t>
      </w:r>
    </w:p>
    <w:p>
      <w:pPr>
        <w:spacing w:after="160" w:before="0"/>
        <w:jc w:val="both"/>
      </w:pPr>
      <w:r>
        <w:rPr>
          <w:rFonts w:ascii="Calibri" w:cs="Calibri" w:eastAsia="Calibri" w:hAnsi="Calibri"/>
          <w:b w:val="false"/>
          <w:bCs w:val="false"/>
          <w:i w:val="false"/>
          <w:iCs w:val="false"/>
          <w:color w:val="1A1A2E"/>
          <w:sz w:val="22"/>
          <w:szCs w:val="22"/>
        </w:rPr>
        <w:t xml:space="preserve">cGMP regulations set the minimum requirements for drug safety, identity, strength, quality, and purity. Data integrity compliance is how Amgen meets those requirements. It is embedded in all 26 processes of the Amgen quality system.</w:t>
      </w:r>
    </w:p>
    <w:p>
      <w:pPr>
        <w:spacing w:after="160" w:before="0"/>
        <w:jc w:val="both"/>
      </w:pPr>
      <w:r>
        <w:rPr>
          <w:rFonts w:ascii="Calibri" w:cs="Calibri" w:eastAsia="Calibri" w:hAnsi="Calibri"/>
          <w:b w:val="false"/>
          <w:bCs w:val="false"/>
          <w:i w:val="false"/>
          <w:iCs w:val="false"/>
          <w:color w:val="1A1A2E"/>
          <w:sz w:val="22"/>
          <w:szCs w:val="22"/>
        </w:rPr>
        <w:t xml:space="preserve">Your role as an SME involves managing data actively: accessing raw data correctly, using electronic systems securely, comparing paper and electronic records to verify that regulatory submissions are traceable to raw data, and tracking who did what, when they did it, and what was changed — and why.</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Module 3 Summary — ALCOA+ and Quality Attributes</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Module 3 Summary Slide   |   Topic: ALCOA+ and Quality Attributes</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Module 3 introduced the standard by which data integrity is evaluated globally: ALCOA+.</w:t>
      </w:r>
    </w:p>
    <w:p>
      <w:pPr>
        <w:spacing w:after="160" w:before="0"/>
        <w:jc w:val="both"/>
      </w:pPr>
      <w:r>
        <w:rPr>
          <w:rFonts w:ascii="Calibri" w:cs="Calibri" w:eastAsia="Calibri" w:hAnsi="Calibri"/>
          <w:b w:val="false"/>
          <w:bCs w:val="false"/>
          <w:i w:val="false"/>
          <w:iCs w:val="false"/>
          <w:color w:val="1A1A2E"/>
          <w:sz w:val="22"/>
          <w:szCs w:val="22"/>
        </w:rPr>
        <w:t xml:space="preserve">ALCOA+ is used by the World Health Organization, the FDA, PIC/S, MHRA, and GAMP. It represents nine attributes that determine the integrity of data throughout its lifecycle.</w:t>
      </w:r>
    </w:p>
    <w:p>
      <w:pPr>
        <w:spacing w:after="160" w:before="0"/>
        <w:jc w:val="both"/>
      </w:pPr>
      <w:r>
        <w:rPr>
          <w:rFonts w:ascii="Calibri" w:cs="Calibri" w:eastAsia="Calibri" w:hAnsi="Calibri"/>
          <w:b w:val="false"/>
          <w:bCs w:val="false"/>
          <w:i w:val="false"/>
          <w:iCs w:val="false"/>
          <w:color w:val="1A1A2E"/>
          <w:sz w:val="22"/>
          <w:szCs w:val="22"/>
        </w:rPr>
        <w:t xml:space="preserve">Attributable — data must be traceable to the person and source that generated it, with the date. For paper records, that means initials and date. For electronic records, it means user ID, password, and e-signature with audit trail.</w:t>
      </w:r>
    </w:p>
    <w:p>
      <w:pPr>
        <w:spacing w:after="160" w:before="0"/>
        <w:jc w:val="both"/>
      </w:pPr>
      <w:r>
        <w:rPr>
          <w:rFonts w:ascii="Calibri" w:cs="Calibri" w:eastAsia="Calibri" w:hAnsi="Calibri"/>
          <w:b w:val="false"/>
          <w:bCs w:val="false"/>
          <w:i w:val="false"/>
          <w:iCs w:val="false"/>
          <w:color w:val="1A1A2E"/>
          <w:sz w:val="22"/>
          <w:szCs w:val="22"/>
        </w:rPr>
        <w:t xml:space="preserve">Legible — data must be readable and permanent. No cross-outs, scribble, or overwriting on paper. No file overwriting or deletion in electronic records.</w:t>
      </w:r>
    </w:p>
    <w:p>
      <w:pPr>
        <w:spacing w:after="160" w:before="0"/>
        <w:jc w:val="both"/>
      </w:pPr>
      <w:r>
        <w:rPr>
          <w:rFonts w:ascii="Calibri" w:cs="Calibri" w:eastAsia="Calibri" w:hAnsi="Calibri"/>
          <w:b w:val="false"/>
          <w:bCs w:val="false"/>
          <w:i w:val="false"/>
          <w:iCs w:val="false"/>
          <w:color w:val="1A1A2E"/>
          <w:sz w:val="22"/>
          <w:szCs w:val="22"/>
        </w:rPr>
        <w:t xml:space="preserve">Contemporaneous — data must be documented at the time the activity was performed. Not reconstructed later. Not from notes. In real time.</w:t>
      </w:r>
    </w:p>
    <w:p>
      <w:pPr>
        <w:spacing w:after="160" w:before="0"/>
        <w:jc w:val="both"/>
      </w:pPr>
      <w:r>
        <w:rPr>
          <w:rFonts w:ascii="Calibri" w:cs="Calibri" w:eastAsia="Calibri" w:hAnsi="Calibri"/>
          <w:b w:val="false"/>
          <w:bCs w:val="false"/>
          <w:i w:val="false"/>
          <w:iCs w:val="false"/>
          <w:color w:val="1A1A2E"/>
          <w:sz w:val="22"/>
          <w:szCs w:val="22"/>
        </w:rPr>
        <w:t xml:space="preserve">Original — data must be the first capture, or a true copy that meets good documentation practice requirements. Not transcribed from rough notes.</w:t>
      </w:r>
    </w:p>
    <w:p>
      <w:pPr>
        <w:spacing w:after="160" w:before="0"/>
        <w:jc w:val="both"/>
      </w:pPr>
      <w:r>
        <w:rPr>
          <w:rFonts w:ascii="Calibri" w:cs="Calibri" w:eastAsia="Calibri" w:hAnsi="Calibri"/>
          <w:b w:val="false"/>
          <w:bCs w:val="false"/>
          <w:i w:val="false"/>
          <w:iCs w:val="false"/>
          <w:color w:val="1A1A2E"/>
          <w:sz w:val="22"/>
          <w:szCs w:val="22"/>
        </w:rPr>
        <w:t xml:space="preserve">Accurate — data must contain no errors. Any correction must be documented with justification.</w:t>
      </w:r>
    </w:p>
    <w:p>
      <w:pPr>
        <w:spacing w:after="160" w:before="0"/>
        <w:jc w:val="both"/>
      </w:pPr>
      <w:r>
        <w:rPr>
          <w:rFonts w:ascii="Calibri" w:cs="Calibri" w:eastAsia="Calibri" w:hAnsi="Calibri"/>
          <w:b w:val="false"/>
          <w:bCs w:val="false"/>
          <w:i w:val="false"/>
          <w:iCs w:val="false"/>
          <w:color w:val="1A1A2E"/>
          <w:sz w:val="22"/>
          <w:szCs w:val="22"/>
        </w:rPr>
        <w:t xml:space="preserve">Then the plus: Complete — all data, including repeat analysis and metadata, must be recorded. Consistent — date and time stamps must follow the expected sequence. Enduring — data must be stored on media proven to withstand the long-term retention period. And Available — data must be accessible for review, audit, or inspection for the full lifetime of the record.</w:t>
      </w:r>
    </w:p>
    <w:p>
      <w:pPr>
        <w:spacing w:after="160" w:before="0"/>
        <w:jc w:val="both"/>
      </w:pPr>
      <w:r>
        <w:rPr>
          <w:rFonts w:ascii="Calibri" w:cs="Calibri" w:eastAsia="Calibri" w:hAnsi="Calibri"/>
          <w:b w:val="false"/>
          <w:bCs w:val="false"/>
          <w:i w:val="false"/>
          <w:iCs w:val="false"/>
          <w:color w:val="1A1A2E"/>
          <w:sz w:val="22"/>
          <w:szCs w:val="22"/>
        </w:rPr>
        <w:t xml:space="preserve">Together, these nine attributes are the daily standard by which every data entry, every review, and every approval should be evaluated. They also create trust. Data records are the evidence that Amgen's products are safe and effective. The quality of those records is what earns the trust of patients, regulatory agencies, and clients.</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Module 4 Summary — Relationship to Amgen Business Processes</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Module 4 Summary Slide   |   Topic: Relationship to Amgen Business Processes</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In Module 4, you saw how data integrity requirements map onto the four phases of the Amgen business process lifecycle: Plan, Design and Validation, Use, and Changes.</w:t>
      </w:r>
    </w:p>
    <w:p>
      <w:pPr>
        <w:spacing w:after="160" w:before="0"/>
        <w:jc w:val="both"/>
      </w:pPr>
      <w:r>
        <w:rPr>
          <w:rFonts w:ascii="Calibri" w:cs="Calibri" w:eastAsia="Calibri" w:hAnsi="Calibri"/>
          <w:b w:val="false"/>
          <w:bCs w:val="false"/>
          <w:i w:val="false"/>
          <w:iCs w:val="false"/>
          <w:color w:val="1A1A2E"/>
          <w:sz w:val="22"/>
          <w:szCs w:val="22"/>
        </w:rPr>
        <w:t xml:space="preserve">In the Plan phase, the complete Data Integrity Assessment Team — the Business Owner, the System Owner, QA, and Validation — must collaborate from the very beginning. This is not something QA does after the fact. Knowing the intended use of a system, defining the type of data it will manage, establishing system requirements, and sourcing from GxP-approved suppliers are all Plan phase responsibilities.</w:t>
      </w:r>
    </w:p>
    <w:p>
      <w:pPr>
        <w:spacing w:after="160" w:before="0"/>
        <w:jc w:val="both"/>
      </w:pPr>
      <w:r>
        <w:rPr>
          <w:rFonts w:ascii="Calibri" w:cs="Calibri" w:eastAsia="Calibri" w:hAnsi="Calibri"/>
          <w:b w:val="false"/>
          <w:bCs w:val="false"/>
          <w:i w:val="false"/>
          <w:iCs w:val="false"/>
          <w:color w:val="1A1A2E"/>
          <w:sz w:val="22"/>
          <w:szCs w:val="22"/>
        </w:rPr>
        <w:t xml:space="preserve">Four documents require SME review and approval in this phase: the Equipment or System Validation Plan, the User Requirements Specification, the Functional Specification, and the Change Control Guidelines. These documents establish the basis on which everything that follows will be evaluated.</w:t>
      </w:r>
    </w:p>
    <w:p>
      <w:pPr>
        <w:spacing w:after="160" w:before="0"/>
        <w:jc w:val="both"/>
      </w:pPr>
      <w:r>
        <w:rPr>
          <w:rFonts w:ascii="Calibri" w:cs="Calibri" w:eastAsia="Calibri" w:hAnsi="Calibri"/>
          <w:b w:val="false"/>
          <w:bCs w:val="false"/>
          <w:i w:val="false"/>
          <w:iCs w:val="false"/>
          <w:color w:val="1A1A2E"/>
          <w:sz w:val="22"/>
          <w:szCs w:val="22"/>
        </w:rPr>
        <w:t xml:space="preserve">You also learned how to analyse data flows within a computerized system — understanding where data comes from, how it is processed, and how results are reviewed and by whom. This What If Analysis framework helps identify data integrity risks before they become problems.</w:t>
      </w:r>
    </w:p>
    <w:p>
      <w:pPr>
        <w:spacing w:after="160" w:before="0"/>
        <w:jc w:val="both"/>
      </w:pPr>
      <w:r>
        <w:rPr>
          <w:rFonts w:ascii="Calibri" w:cs="Calibri" w:eastAsia="Calibri" w:hAnsi="Calibri"/>
          <w:b w:val="false"/>
          <w:bCs w:val="false"/>
          <w:i w:val="false"/>
          <w:iCs w:val="false"/>
          <w:color w:val="1A1A2E"/>
          <w:sz w:val="22"/>
          <w:szCs w:val="22"/>
        </w:rPr>
        <w:t xml:space="preserve">Change Control is mandatory across all phases. SOP-428422 governs the process. Business endorsement must be obtained before generating a TrackWise change record. And for any change involving facilities, utilities, equipment, or computerized systems, the data integrity strategy for that specific change must be defined per GDE-407132.</w:t>
      </w:r>
    </w:p>
    <w:p>
      <w:pPr>
        <w:spacing w:after="160" w:before="0"/>
        <w:jc w:val="both"/>
      </w:pPr>
      <w:r>
        <w:rPr>
          <w:rFonts w:ascii="Calibri" w:cs="Calibri" w:eastAsia="Calibri" w:hAnsi="Calibri"/>
          <w:b w:val="false"/>
          <w:bCs w:val="false"/>
          <w:i w:val="false"/>
          <w:iCs w:val="false"/>
          <w:color w:val="1A1A2E"/>
          <w:sz w:val="22"/>
          <w:szCs w:val="22"/>
        </w:rPr>
        <w:t xml:space="preserve">Business and Quality each have important roles. They must work together across all four phases to ensure data integrity is maintained — not just reviewed at the end.</w:t>
      </w:r>
    </w:p>
    <w:p>
      <w:pPr>
        <w:pBdr>
          <w:bottom w:val="single" w:color="D0D8E4" w:sz="6" w:space="1"/>
        </w:pBdr>
        <w:spacing w:after="200" w:before="200"/>
      </w:pPr>
    </w:p>
    <w:p>
      <w:pPr>
        <w:pStyle w:val="Heading2"/>
        <w:spacing w:after="80" w:before="280"/>
        <w:rPr>
          <w:rFonts w:ascii="Calibri" w:cs="Calibri" w:eastAsia="Calibri" w:hAnsi="Calibri"/>
          <w:b/>
          <w:bCs/>
          <w:color w:val="0063C3"/>
          <w:sz w:val="24"/>
          <w:szCs w:val="24"/>
        </w:rPr>
      </w:pPr>
      <w:r>
        <w:t xml:space="preserve">Module 5 Summary — Ensuring Data Integrity Across the Lifecycle</w:t>
      </w:r>
    </w:p>
    <w:p>
      <w:pPr>
        <w:pBdr>
          <w:top w:val="single" w:color="0063C3" w:sz="4"/>
          <w:bottom w:val="single" w:color="0063C3" w:sz="4"/>
          <w:left w:val="thick" w:color="0063C3" w:sz="12"/>
          <w:right w:val="single" w:color="D0D8E4" w:sz="4"/>
        </w:pBdr>
        <w:shd w:fill="EFF6FF" w:val="clear"/>
        <w:spacing w:after="160" w:before="80"/>
        <w:ind w:left="160" w:right="160"/>
      </w:pPr>
      <w:r>
        <w:rPr>
          <w:rFonts w:ascii="Calibri" w:cs="Calibri" w:eastAsia="Calibri" w:hAnsi="Calibri"/>
          <w:b/>
          <w:bCs/>
          <w:color w:val="0063C3"/>
          <w:sz w:val="18"/>
          <w:szCs w:val="18"/>
        </w:rPr>
        <w:t xml:space="preserve">Slide: Module 5 Summary Slide   |   Topic: Ensuring Data Integrity Across the Lifecycle</w:t>
      </w:r>
    </w:p>
    <w:p>
      <w:pPr>
        <w:spacing w:after="40" w:before="200"/>
      </w:pPr>
      <w:r>
        <w:rPr>
          <w:rFonts w:ascii="Calibri" w:cs="Calibri" w:eastAsia="Calibri" w:hAnsi="Calibri"/>
          <w:b/>
          <w:bCs/>
          <w:color w:val="5A6880"/>
          <w:spacing w:val="40"/>
          <w:sz w:val="16"/>
          <w:szCs w:val="16"/>
        </w:rPr>
        <w:t xml:space="preserve">VOICEOVER SCRIPT</w:t>
      </w:r>
    </w:p>
    <w:p>
      <w:pPr>
        <w:spacing w:after="160" w:before="0"/>
        <w:jc w:val="both"/>
      </w:pPr>
      <w:r>
        <w:rPr>
          <w:rFonts w:ascii="Calibri" w:cs="Calibri" w:eastAsia="Calibri" w:hAnsi="Calibri"/>
          <w:b w:val="false"/>
          <w:bCs w:val="false"/>
          <w:i w:val="false"/>
          <w:iCs w:val="false"/>
          <w:color w:val="1A1A2E"/>
          <w:sz w:val="22"/>
          <w:szCs w:val="22"/>
        </w:rPr>
        <w:t xml:space="preserve">Module 5 brought everything together and applied it to each phase of the data lifecycle in detail.</w:t>
      </w:r>
    </w:p>
    <w:p>
      <w:pPr>
        <w:spacing w:after="160" w:before="0"/>
        <w:jc w:val="both"/>
      </w:pPr>
      <w:r>
        <w:rPr>
          <w:rFonts w:ascii="Calibri" w:cs="Calibri" w:eastAsia="Calibri" w:hAnsi="Calibri"/>
          <w:b w:val="false"/>
          <w:bCs w:val="false"/>
          <w:i w:val="false"/>
          <w:iCs w:val="false"/>
          <w:color w:val="1A1A2E"/>
          <w:sz w:val="22"/>
          <w:szCs w:val="22"/>
        </w:rPr>
        <w:t xml:space="preserve">In the Design and Validation phase, you learned that software and equipment is not considered validated until three conditions are confirmed. First, the system must be included in the global validation master plan or site computerized systems inventory. Second, the entire validation documentation chain must be approved. Third, the Data Integrity Assessment report must be generated per SOP-420571. All three must be true. Not two out of three.</w:t>
      </w:r>
    </w:p>
    <w:p>
      <w:pPr>
        <w:spacing w:after="160" w:before="0"/>
        <w:jc w:val="both"/>
      </w:pPr>
      <w:r>
        <w:rPr>
          <w:rFonts w:ascii="Calibri" w:cs="Calibri" w:eastAsia="Calibri" w:hAnsi="Calibri"/>
          <w:b w:val="false"/>
          <w:bCs w:val="false"/>
          <w:i w:val="false"/>
          <w:iCs w:val="false"/>
          <w:color w:val="1A1A2E"/>
          <w:sz w:val="22"/>
          <w:szCs w:val="22"/>
        </w:rPr>
        <w:t xml:space="preserve">Audit trails are mandatory in any validated electronic system. An audit trail is a secure, computer-generated, time-stamped electronic record of critical information. It provides data to reconstruct the course of events relating to a record and provides metadata — the structured context that describes the data. Audit trails must themselves be validated as part of system validation. Two types exist: the Data Audit Trail, reviewed on a per-test or per-batch basis, and the System Configuration Audit Trail, reviewed on a time basis as part of periodic review.</w:t>
      </w:r>
    </w:p>
    <w:p>
      <w:pPr>
        <w:spacing w:after="160" w:before="0"/>
        <w:jc w:val="both"/>
      </w:pPr>
      <w:r>
        <w:rPr>
          <w:rFonts w:ascii="Calibri" w:cs="Calibri" w:eastAsia="Calibri" w:hAnsi="Calibri"/>
          <w:b w:val="false"/>
          <w:bCs w:val="false"/>
          <w:i w:val="false"/>
          <w:iCs w:val="false"/>
          <w:color w:val="1A1A2E"/>
          <w:sz w:val="22"/>
          <w:szCs w:val="22"/>
        </w:rPr>
        <w:t xml:space="preserve">In the Use phase, electronic data must be stored on secure servers — not desktops. Desktops have unreliable security, are vulnerable to damage, and have limited storage capacity. A server provides protective hardware in a secure location, durable media, and the permanent storage that regulations require. When data is discarded, there must be a documented disposal process. Sending something to the recycle bin is not a compliant disposal method.</w:t>
      </w:r>
    </w:p>
    <w:p>
      <w:pPr>
        <w:spacing w:after="160" w:before="0"/>
        <w:jc w:val="both"/>
      </w:pPr>
      <w:r>
        <w:rPr>
          <w:rFonts w:ascii="Calibri" w:cs="Calibri" w:eastAsia="Calibri" w:hAnsi="Calibri"/>
          <w:b w:val="false"/>
          <w:bCs w:val="false"/>
          <w:i w:val="false"/>
          <w:iCs w:val="false"/>
          <w:color w:val="1A1A2E"/>
          <w:sz w:val="22"/>
          <w:szCs w:val="22"/>
        </w:rPr>
        <w:t xml:space="preserve">In the Changes phase, every change must be assessed for its potential impact on data integrity. This includes equipment decommissioning and the resulting data retention obligations, changes to electronic records, and historical data changes that may have occurred without documentation or justification.</w:t>
      </w:r>
    </w:p>
    <w:p>
      <w:pPr>
        <w:spacing w:after="160" w:before="0"/>
        <w:jc w:val="both"/>
      </w:pPr>
      <w:r>
        <w:rPr>
          <w:rFonts w:ascii="Calibri" w:cs="Calibri" w:eastAsia="Calibri" w:hAnsi="Calibri"/>
          <w:b w:val="false"/>
          <w:bCs w:val="false"/>
          <w:i w:val="false"/>
          <w:iCs w:val="false"/>
          <w:color w:val="1A1A2E"/>
          <w:sz w:val="22"/>
          <w:szCs w:val="22"/>
        </w:rPr>
        <w:t xml:space="preserve">And the case studies you worked through brought all of this to life. Shared credentials violate ALCOA Attributable — because every action is attributed to the credential holder, not the person who actually acted. Unlocked systems with unrestricted access make attribution impossible from the start. In both cases, the failure was preventable. The controls existed. They simply weren't applied.</w:t>
      </w:r>
    </w:p>
    <w:p>
      <w:pPr>
        <w:spacing w:after="160" w:before="0"/>
        <w:jc w:val="both"/>
      </w:pPr>
      <w:r>
        <w:rPr>
          <w:rFonts w:ascii="Calibri" w:cs="Calibri" w:eastAsia="Calibri" w:hAnsi="Calibri"/>
          <w:b/>
          <w:bCs/>
          <w:i w:val="false"/>
          <w:iCs w:val="false"/>
          <w:color w:val="1A1A2E"/>
          <w:sz w:val="22"/>
          <w:szCs w:val="22"/>
        </w:rPr>
        <w:t xml:space="preserve">Every phase of the data lifecycle demands the same commitment: complete, accurate, attributable data — every time, for every patient.</w:t>
      </w:r>
    </w:p>
    <w:sectPr>
      <w:headerReference w:type="default" r:id="rId7"/>
      <w:footerReference w:type="default" r:id="rId8"/>
      <w:pgSz w:w="12240" w:h="15840" w:orient="portrait"/>
      <w:pgMar w:top="1080" w:right="1260" w:bottom="108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A6880"/>
        <w:sz w:val="16"/>
        <w:szCs w:val="16"/>
      </w:rPr>
      <w:t xml:space="preserve">Page </w:t>
    </w:r>
    <w:r>
      <w:rPr>
        <w:rFonts w:ascii="Calibri" w:cs="Calibri" w:eastAsia="Calibri" w:hAnsi="Calibri"/>
        <w:color w:val="5A6880"/>
        <w:sz w:val="16"/>
        <w:szCs w:val="16"/>
      </w:rPr>
      <w:fldChar w:fldCharType="begin"/>
      <w:instrText xml:space="preserve">PAGE</w:instrText>
      <w:fldChar w:fldCharType="separate"/>
      <w:fldChar w:fldCharType="end"/>
    </w:r>
    <w:r>
      <w:rPr>
        <w:rFonts w:ascii="Calibri" w:cs="Calibri" w:eastAsia="Calibri" w:hAnsi="Calibri"/>
        <w:color w:val="5A6880"/>
        <w:sz w:val="16"/>
        <w:szCs w:val="16"/>
      </w:rPr>
      <w:t xml:space="preserve"> of </w:t>
    </w:r>
    <w:r>
      <w:rPr>
        <w:rFonts w:ascii="Calibri" w:cs="Calibri" w:eastAsia="Calibri" w:hAnsi="Calibri"/>
        <w:color w:val="5A6880"/>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Calibri" w:cs="Calibri" w:eastAsia="Calibri" w:hAnsi="Calibri"/>
        <w:color w:val="5A6880"/>
        <w:sz w:val="16"/>
        <w:szCs w:val="16"/>
      </w:rPr>
      <w:t xml:space="preserve">TRN-408732 · Data Integrity Foundations · VO Scripts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pPr>
      <w:spacing w:after="120" w:before="360"/>
    </w:pPr>
    <w:rPr>
      <w:rFonts w:ascii="Cambria" w:cs="Cambria" w:eastAsia="Cambria" w:hAnsi="Cambria"/>
      <w:b/>
      <w:bCs/>
      <w:color w:val="0E2841"/>
      <w:sz w:val="28"/>
      <w:szCs w:val="28"/>
    </w:rPr>
  </w:style>
  <w:style w:type="paragraph" w:styleId="Heading2">
    <w:name w:val="Heading 2"/>
    <w:pPr>
      <w:spacing w:after="80" w:before="280"/>
    </w:pPr>
    <w:rPr>
      <w:rFonts w:ascii="Calibri" w:cs="Calibri" w:eastAsia="Calibri" w:hAnsi="Calibri"/>
      <w:b/>
      <w:bCs/>
      <w:color w:val="0063C3"/>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TRN-408732 Data Integrity Foundations — Voiceover Scripts</dc:title>
  <dc:creator>Snaps Media Group — GQA Academy</dc:creator>
  <dc:description>Case study and module summary VO scripts for the GQA Academy Data Integrity Foundations eLearning course.</dc:description>
  <cp:lastModifiedBy>Un-named</cp:lastModifiedBy>
  <cp:revision>1</cp:revision>
  <dcterms:created xsi:type="dcterms:W3CDTF">2026-09-11T16:12:10.044Z</dcterms:created>
  <dcterms:modified xsi:type="dcterms:W3CDTF">2026-09-11T16:12:10.055Z</dcterms:modified>
</cp:coreProperties>
</file>

<file path=docProps/custom.xml><?xml version="1.0" encoding="utf-8"?>
<Properties xmlns="http://schemas.openxmlformats.org/officeDocument/2006/custom-properties" xmlns:vt="http://schemas.openxmlformats.org/officeDocument/2006/docPropsVTypes"/>
</file>